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7377" w14:textId="6860960A" w:rsidR="001B5772" w:rsidRPr="001B5772" w:rsidRDefault="001B5772" w:rsidP="001B5772">
      <w:pPr>
        <w:pStyle w:val="SemEspaamento"/>
        <w:ind w:left="142" w:right="390"/>
        <w:jc w:val="center"/>
        <w:rPr>
          <w:rFonts w:ascii="Arial" w:hAnsi="Arial" w:cs="Arial"/>
          <w:b/>
          <w:bCs/>
        </w:rPr>
      </w:pPr>
      <w:r w:rsidRPr="001B5772">
        <w:rPr>
          <w:rFonts w:ascii="Arial" w:hAnsi="Arial" w:cs="Arial"/>
          <w:b/>
          <w:bCs/>
        </w:rPr>
        <w:t>ESTUDO TÉCNICO PRELIMINAR TRANSPORTE ESCOLAR</w:t>
      </w:r>
    </w:p>
    <w:p w14:paraId="796A5F10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00CDE9EB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O Estudo Técnico Preliminar tem por objetivo identificar e analisar os cenários para o atendimento da demanda apresentada, bem como demonstrar a viabilidade técnica e econômica das soluções identificadas, fornecendo as informações necessárias para subsidiar o termo de referência e o respectivo processo de contratação.</w:t>
      </w:r>
    </w:p>
    <w:p w14:paraId="76938EA5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15D44B94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1.</w:t>
      </w:r>
      <w:r w:rsidRPr="001B5772">
        <w:rPr>
          <w:rFonts w:ascii="Arial" w:hAnsi="Arial" w:cs="Arial"/>
          <w:b/>
          <w:bCs/>
        </w:rPr>
        <w:t>DESIGNAÇÃO</w:t>
      </w:r>
      <w:r w:rsidRPr="001B5772">
        <w:rPr>
          <w:rFonts w:ascii="Arial" w:hAnsi="Arial" w:cs="Arial"/>
        </w:rPr>
        <w:t xml:space="preserve"> DA EQUIPE DE ELABORAÇÃO</w:t>
      </w:r>
    </w:p>
    <w:p w14:paraId="0C64208B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78413BAD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Municipal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Educação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meio do</w:t>
      </w:r>
      <w:r w:rsidRPr="001B5772">
        <w:rPr>
          <w:rFonts w:ascii="Arial" w:hAnsi="Arial" w:cs="Arial"/>
        </w:rPr>
        <w:t xml:space="preserve"> responsavél do transporte Émerson de Paulo Barbosa e da Secretária Municipal de Educação Vanda Helena Moreira.</w:t>
      </w:r>
    </w:p>
    <w:p w14:paraId="799B4B1D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559D8DB2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B5772">
        <w:rPr>
          <w:rFonts w:ascii="Arial" w:hAnsi="Arial" w:cs="Arial"/>
          <w:b/>
          <w:bCs/>
        </w:rPr>
        <w:t>OBJETO:</w:t>
      </w:r>
    </w:p>
    <w:p w14:paraId="1851D0BD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Contratação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empresa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prestar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transporte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escolar,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rede municipal e estadual de ensino.</w:t>
      </w:r>
    </w:p>
    <w:p w14:paraId="15C1ABCB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41E84903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B5772">
        <w:rPr>
          <w:rFonts w:ascii="Arial" w:hAnsi="Arial" w:cs="Arial"/>
          <w:b/>
          <w:bCs/>
        </w:rPr>
        <w:t>DESCRIÇÃO DA NECESSIDADE</w:t>
      </w:r>
    </w:p>
    <w:p w14:paraId="0745CFC2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contratação visa dar continuidade ao fornecimento de Transporte Escolar para a rede municipal de ensino, visando cumprimento de sua missão institucional.</w:t>
      </w:r>
    </w:p>
    <w:p w14:paraId="1C400CE3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Uma nova licitação se faz necessária por meio de novo processo licitatório para manutenção dos serviços de Transporte Escolar, visando manter o fornecimento do mesmo durante o período de aulas.</w:t>
      </w:r>
    </w:p>
    <w:p w14:paraId="603B17E9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Necessário conforme a conveniência e necessidade. É obrigação resguardar o serviço público diante da necessidade de mantê-los em atividade com o seu emprego </w:t>
      </w:r>
      <w:r w:rsidRPr="001B5772">
        <w:rPr>
          <w:rFonts w:ascii="Arial" w:hAnsi="Arial" w:cs="Arial"/>
        </w:rPr>
        <w:t>institucional.</w:t>
      </w:r>
    </w:p>
    <w:p w14:paraId="56112F5E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Por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consequência,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manutenção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desta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ordem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reveste 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extrema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importância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também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tocante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prestação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jurisdicional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efetiva.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diante de sua natureza de serviço continuado, caso ocorresse sua interrupção seria de forte impacto acarretando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descontinuidade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transporte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escolar,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diante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término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saldo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contrato vigente, que se quer retomar por meio de nova licitação.</w:t>
      </w:r>
    </w:p>
    <w:p w14:paraId="6C530E4D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 não contratação de uma empresa terceirizada para o transporte escolar no município de Carbonita pode gerar diversos problemas que impactam diretamente a educação e o bem-estar dos alunos. Sem um serviço adequado, muitos estudantes que dependem do transporte público para chegar às escolas podem enfrentar dificuldades ou até mesmo a impossibilidade de frequentar as aulas, comprometendo seu direito à educação. Isso pode resultar em aumento da evasão escolar, queda no desempenho acadêmico e maior desigualdade de acesso ao ensino, especialmente para aqueles que moram em áreas rurais ou distantes.</w:t>
      </w:r>
    </w:p>
    <w:p w14:paraId="4958820E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O impacto para a sociedade como um todo também é relevante, pois a ausência de transporte escolar afeta a economia local, uma vez que pais podem precisar faltar ao trabalho para levar seus filhos à escola. Além disso, a falta de um transporte seguro pode expor crianças e adolescentes a riscos ao tentarem chegar por conta própria às instituições de ensino. Portanto, a contratação de uma empresa terceirizada de forma ágil e eficiente se faz essencial para garantir o direito à educação e evitar prejuízos sociais e econômicos no município.</w:t>
      </w:r>
    </w:p>
    <w:p w14:paraId="63822415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12AF2108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B5772">
        <w:rPr>
          <w:rFonts w:ascii="Arial" w:hAnsi="Arial" w:cs="Arial"/>
          <w:b/>
          <w:bCs/>
        </w:rPr>
        <w:t>ALINHAMENTO ENTRE A CONTRATAÇÃO E O PLANEJAMENTO</w:t>
      </w:r>
    </w:p>
    <w:p w14:paraId="6392FCDB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O atendimento às obrigações da rede de ensino vem ao encontro das necessidades 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negócio,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apresentando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conflitos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objetivos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organizacionais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relacionados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gestão das aquisições e contratações.</w:t>
      </w:r>
    </w:p>
    <w:p w14:paraId="18FB4C4E" w14:textId="70F6705A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pretendida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está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prevista</w:t>
      </w:r>
      <w:r w:rsidRPr="001B5772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Município,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 alinhada com o planejamento da Administração.</w:t>
      </w:r>
    </w:p>
    <w:p w14:paraId="7BAB11A4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6CD0C174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B5772">
        <w:rPr>
          <w:rFonts w:ascii="Arial" w:hAnsi="Arial" w:cs="Arial"/>
          <w:b/>
          <w:bCs/>
        </w:rPr>
        <w:t>DESCRIÇÃO DOS REQUISITOS DA CONTRATAÇÃO</w:t>
      </w:r>
    </w:p>
    <w:p w14:paraId="1F9A692B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têm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natureza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comum,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vista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seus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padrões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desempenho e qualidade podem ser objetivamente definidos pelo edital, por meio de especificações usuais de mercado, nos termos do art. 6º, inciso XIII, da Lei Federal nº 14.133/2021.</w:t>
      </w:r>
    </w:p>
    <w:p w14:paraId="01C14B00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 realização do transporte dos alunos da rede municipal de ensino deverá ser efetuada imediatamente após a efetivação do contrato, conforme solicitado, seguindo o calendário escolar, de segunda a sexta feira e,  aos sábados letivos.</w:t>
      </w:r>
    </w:p>
    <w:p w14:paraId="6F66F133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contratada deverá atender às especificações técnicas exigidas conforme legislação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vigor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apresentar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fiscal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início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execução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serviços, cópia dos seguintes documentos:</w:t>
      </w:r>
    </w:p>
    <w:p w14:paraId="5B402631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Cadastro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regular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ausência 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impedimentos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1B5772">
        <w:rPr>
          <w:rFonts w:ascii="Arial" w:hAnsi="Arial" w:cs="Arial"/>
        </w:rPr>
        <w:t xml:space="preserve"> contratar;</w:t>
      </w:r>
    </w:p>
    <w:p w14:paraId="47060F86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Certidão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negativas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válidas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previstas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Lei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1B5772">
        <w:rPr>
          <w:rFonts w:ascii="Arial" w:hAnsi="Arial" w:cs="Arial"/>
        </w:rPr>
        <w:t xml:space="preserve"> 14.133/2021;</w:t>
      </w:r>
    </w:p>
    <w:p w14:paraId="4E8E6CD5" w14:textId="1EB82A75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empresas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interessadas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ofertar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transporte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escolar,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 deverão ter em sua frota veículos que atendam os itens abaixo </w:t>
      </w:r>
      <w:r w:rsidRPr="001B5772">
        <w:rPr>
          <w:rFonts w:ascii="Arial" w:hAnsi="Arial" w:cs="Arial"/>
        </w:rPr>
        <w:t>relacionados;</w:t>
      </w:r>
    </w:p>
    <w:p w14:paraId="48F20976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veículos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passageiros;</w:t>
      </w:r>
    </w:p>
    <w:p w14:paraId="0861C4CB" w14:textId="52A7F425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Inspeções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semestrais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conforme</w:t>
      </w:r>
      <w:r w:rsidRPr="001B5772">
        <w:rPr>
          <w:rFonts w:ascii="Arial" w:hAnsi="Arial" w:cs="Arial"/>
        </w:rPr>
        <w:t xml:space="preserve"> legislação (vistoria);</w:t>
      </w:r>
    </w:p>
    <w:p w14:paraId="29C759D1" w14:textId="5FDDDD15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Imã ou pintura de faixa horizontal na cor amarela, escrito escolar em preto, pintura na cor amarela, as cores aqui indicadas e invertidas;</w:t>
      </w:r>
    </w:p>
    <w:p w14:paraId="5FCD77FF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Tacógrafo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quando</w:t>
      </w:r>
      <w:r w:rsidRPr="001B5772">
        <w:rPr>
          <w:rFonts w:ascii="Arial" w:hAnsi="Arial" w:cs="Arial"/>
        </w:rPr>
        <w:t xml:space="preserve"> necessário;</w:t>
      </w:r>
    </w:p>
    <w:p w14:paraId="68816001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Lanternas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luz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branca,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fosca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amarela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dispostas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extremidades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parte superior dianteira e lanternas de luz vermelha dispostas nas extremidades superior da arte traseira;</w:t>
      </w:r>
    </w:p>
    <w:p w14:paraId="464CF58F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Cintos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segurança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igual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1B5772">
        <w:rPr>
          <w:rFonts w:ascii="Arial" w:hAnsi="Arial" w:cs="Arial"/>
        </w:rPr>
        <w:t>lotação;</w:t>
      </w:r>
    </w:p>
    <w:p w14:paraId="117537B5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Outros requisitos e equipamentos obrigatórios estabelecidos pela legislação do CTB (código de Trânsito Brasileiro;</w:t>
      </w:r>
    </w:p>
    <w:p w14:paraId="58E6DC8A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Os condutores devem apresentar documentação que ateste o cumprimento pelo motorista, que efetuará o serviço, das exigências previstas no artigo 138 do Código de Trânsito Brasileiro - Lei 9503, de 23 de setembro de 1997, ou seja:</w:t>
      </w:r>
    </w:p>
    <w:p w14:paraId="54DC0950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Ter idade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superior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vinte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 </w:t>
      </w:r>
      <w:r w:rsidRPr="001B5772">
        <w:rPr>
          <w:rFonts w:ascii="Arial" w:hAnsi="Arial" w:cs="Arial"/>
        </w:rPr>
        <w:t>anos;</w:t>
      </w:r>
    </w:p>
    <w:p w14:paraId="185E317C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Ser habilitado na categoria D ou superior (inciso I, art. 143 da Lei n. 9.503, de 23 de setembro de 1997);</w:t>
      </w:r>
    </w:p>
    <w:p w14:paraId="709D1957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Não ter cometido infração grave ou gravíssima, ou ser reincidente em infrações médias durante os doze últimos meses;</w:t>
      </w:r>
    </w:p>
    <w:p w14:paraId="55E220C1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Ser aprovado em curso especializado, nos termos da regulamentação do CONTRAN (inciso IV, art. 145 da Lei n. 9.503, de 23 de setembro de 1997 e art. 33 da Resolução n. 168, de 14 de dezembro de 2004, atualizada do CONTRAN). Por igual, deverá apresentar, a Carteira de motoristas;</w:t>
      </w:r>
    </w:p>
    <w:p w14:paraId="5F0F7995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documentação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atenda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artigo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nº.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329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9.503,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23 de setembro de 1997 – Código de Trânsito Brasileiro.</w:t>
      </w:r>
    </w:p>
    <w:p w14:paraId="6FB8316D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permitir o embarque e desembarque dos escolares fora dos locais e horários pré determinados pelo CONTRATANTE, sendo, na escola em frente ao portão principal, isentando o município de qualquer custo excedente. </w:t>
      </w:r>
    </w:p>
    <w:p w14:paraId="084D1CCF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1156EE92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contratação será realizada por meio de licitação, na modalidade Pregão, na sua forma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eletrônica,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critério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julgamento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menor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preço,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termos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artigos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6º,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inciso XLI, 17, § 2º, e 34, todos da Lei Federal nº 14.133/2021.</w:t>
      </w:r>
    </w:p>
    <w:p w14:paraId="4F0B0173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Não</w:t>
      </w:r>
      <w:r>
        <w:rPr>
          <w:rFonts w:ascii="Arial" w:hAnsi="Arial" w:cs="Arial"/>
        </w:rPr>
        <w:tab/>
      </w:r>
      <w:r w:rsidRPr="001B5772">
        <w:rPr>
          <w:rFonts w:ascii="Arial" w:hAnsi="Arial" w:cs="Arial"/>
        </w:rPr>
        <w:t>será</w:t>
      </w:r>
      <w:r>
        <w:rPr>
          <w:rFonts w:ascii="Arial" w:hAnsi="Arial" w:cs="Arial"/>
        </w:rPr>
        <w:tab/>
      </w:r>
      <w:r w:rsidRPr="001B5772">
        <w:rPr>
          <w:rFonts w:ascii="Arial" w:hAnsi="Arial" w:cs="Arial"/>
        </w:rPr>
        <w:t>admitida</w:t>
      </w:r>
      <w:r>
        <w:rPr>
          <w:rFonts w:ascii="Arial" w:hAnsi="Arial" w:cs="Arial"/>
        </w:rPr>
        <w:tab/>
      </w:r>
      <w:r w:rsidRPr="001B5772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Pr="001B5772">
        <w:rPr>
          <w:rFonts w:ascii="Arial" w:hAnsi="Arial" w:cs="Arial"/>
        </w:rPr>
        <w:t>subcontratação</w:t>
      </w:r>
      <w:r>
        <w:rPr>
          <w:rFonts w:ascii="Arial" w:hAnsi="Arial" w:cs="Arial"/>
        </w:rPr>
        <w:tab/>
      </w:r>
      <w:r w:rsidRPr="001B5772">
        <w:rPr>
          <w:rFonts w:ascii="Arial" w:hAnsi="Arial" w:cs="Arial"/>
        </w:rPr>
        <w:t>do</w:t>
      </w:r>
      <w:r>
        <w:rPr>
          <w:rFonts w:ascii="Arial" w:hAnsi="Arial" w:cs="Arial"/>
        </w:rPr>
        <w:tab/>
      </w:r>
      <w:r w:rsidRPr="001B5772">
        <w:rPr>
          <w:rFonts w:ascii="Arial" w:hAnsi="Arial" w:cs="Arial"/>
        </w:rPr>
        <w:t>objeto</w:t>
      </w:r>
      <w:r>
        <w:rPr>
          <w:rFonts w:ascii="Arial" w:hAnsi="Arial" w:cs="Arial"/>
        </w:rPr>
        <w:tab/>
      </w:r>
      <w:r w:rsidRPr="001B5772">
        <w:rPr>
          <w:rFonts w:ascii="Arial" w:hAnsi="Arial" w:cs="Arial"/>
        </w:rPr>
        <w:t>licitatório.</w:t>
      </w:r>
      <w:r>
        <w:rPr>
          <w:rFonts w:ascii="Arial" w:hAnsi="Arial" w:cs="Arial"/>
        </w:rPr>
        <w:tab/>
      </w:r>
      <w:r w:rsidRPr="001B577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fornecimento/prestação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pretendidos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eventuais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interessados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deverão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comprovar que atuam em ramo de atividade compatível com o objeto da licitação, bem como apresentar 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documentos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supracitados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título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habilitação,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termos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art.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62,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14.133/2021. Justifica-se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ausência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exigência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à(s)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empresa(s)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ser(em)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contratada(s),</w:t>
      </w:r>
    </w:p>
    <w:p w14:paraId="74436B45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estejam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adequadas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tocante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dispositivo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acessibilidade,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conforme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termos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Resolução CONTRAN nº 961/2022; Lei nº 13.146/2015.</w:t>
      </w:r>
    </w:p>
    <w:p w14:paraId="597735BE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4D55A7A5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B5772">
        <w:rPr>
          <w:rFonts w:ascii="Arial" w:hAnsi="Arial" w:cs="Arial"/>
          <w:b/>
          <w:bCs/>
        </w:rPr>
        <w:lastRenderedPageBreak/>
        <w:t>ESTIMATIVA DAS QUANTIDADES</w:t>
      </w:r>
    </w:p>
    <w:p w14:paraId="6A0D34D0" w14:textId="0A6A4B00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quilometragem estimada para as linhas baseia-se na média de quilometragem percorrida  e estimativa de necessidade aumento das rotas em virtude da inclusão de novos alunos, sendo estimado </w:t>
      </w:r>
      <w:r w:rsidRPr="001B5772">
        <w:rPr>
          <w:rFonts w:ascii="Arial" w:hAnsi="Arial" w:cs="Arial"/>
        </w:rPr>
        <w:t>26.600 quilômetros</w:t>
      </w:r>
      <w:r>
        <w:rPr>
          <w:rFonts w:ascii="Arial" w:hAnsi="Arial" w:cs="Arial"/>
        </w:rPr>
        <w:t xml:space="preserve">  rodados anualmente considerando toda a demanda da Linha.</w:t>
      </w:r>
    </w:p>
    <w:p w14:paraId="17B00188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As rotas são definidas conforme necessidade da Administração. Os itinerários e os horários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pré-determinados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poderão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comum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acordo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Contratada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sempre que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necessário,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decorrência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obras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e/ou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impedimentos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temporários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e/ou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mudanças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sentido de tráfego e/ou inclusão de alunos.</w:t>
      </w:r>
    </w:p>
    <w:p w14:paraId="56377C72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Neste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sentido,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vista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letivo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todo,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necessárias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seguintes quantidades:</w:t>
      </w:r>
    </w:p>
    <w:p w14:paraId="14D723E8" w14:textId="71EE71D4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645" w:type="dxa"/>
        <w:tblInd w:w="-15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3"/>
        <w:gridCol w:w="708"/>
        <w:gridCol w:w="3120"/>
        <w:gridCol w:w="1134"/>
        <w:gridCol w:w="1701"/>
        <w:gridCol w:w="1279"/>
      </w:tblGrid>
      <w:tr w:rsidR="001B5772" w:rsidRPr="001B5772" w14:paraId="1314BF11" w14:textId="77777777" w:rsidTr="001B5772">
        <w:trPr>
          <w:trHeight w:val="603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9319B" w14:textId="77777777" w:rsidR="001B5772" w:rsidRPr="001B5772" w:rsidRDefault="001B5772" w:rsidP="001B5772">
            <w:pPr>
              <w:pStyle w:val="SemEspaamento"/>
              <w:ind w:left="142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DESCRIÇÃO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40D53C" w14:textId="77777777" w:rsidR="001B5772" w:rsidRPr="001B5772" w:rsidRDefault="001B5772" w:rsidP="001B5772">
            <w:pPr>
              <w:pStyle w:val="SemEspaamento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UNID.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41350B" w14:textId="77777777" w:rsidR="001B5772" w:rsidRPr="001B5772" w:rsidRDefault="001B5772" w:rsidP="001B5772">
            <w:pPr>
              <w:pStyle w:val="SemEspaamento"/>
              <w:ind w:left="142" w:right="390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ROTA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9D18" w14:textId="77777777" w:rsidR="001B5772" w:rsidRPr="001B5772" w:rsidRDefault="001B5772" w:rsidP="001B5772">
            <w:pPr>
              <w:pStyle w:val="SemEspaamento"/>
              <w:ind w:hanging="32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QUANT. DE DIAS LETIVOS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11B" w14:textId="77777777" w:rsidR="001B5772" w:rsidRPr="001B5772" w:rsidRDefault="001B5772" w:rsidP="001B5772">
            <w:pPr>
              <w:pStyle w:val="SemEspaamento"/>
              <w:ind w:left="-32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TOTAL DO PERCURSO DIÁRIO POR KM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A50D" w14:textId="77777777" w:rsidR="001B5772" w:rsidRPr="001B5772" w:rsidRDefault="001B5772" w:rsidP="001B5772">
            <w:pPr>
              <w:pStyle w:val="SemEspaamento"/>
              <w:tabs>
                <w:tab w:val="left" w:pos="1393"/>
              </w:tabs>
              <w:ind w:hanging="24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QUANT. TOTAL DE KM</w:t>
            </w:r>
          </w:p>
        </w:tc>
      </w:tr>
      <w:tr w:rsidR="001B5772" w:rsidRPr="001B5772" w14:paraId="11E95DD8" w14:textId="77777777" w:rsidTr="001B5772">
        <w:trPr>
          <w:trHeight w:val="1809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2A367" w14:textId="75AEA919" w:rsidR="001B5772" w:rsidRPr="001B5772" w:rsidRDefault="001B5772" w:rsidP="00107A88">
            <w:pPr>
              <w:pStyle w:val="SemEspaamento"/>
              <w:ind w:right="112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1-Prestação de serviços de transporte com veículo ônibus com capacidade mínima para 40 lugares, equipado para TRANSPORTE ESCOLAR, na forma da lei, combustível diesel, ano de fabricação mínimo 20</w:t>
            </w:r>
            <w:r w:rsidR="00DB4D23">
              <w:rPr>
                <w:rFonts w:ascii="Arial" w:hAnsi="Arial" w:cs="Arial"/>
              </w:rPr>
              <w:t>0</w:t>
            </w:r>
            <w:r w:rsidR="00E2154B">
              <w:rPr>
                <w:rFonts w:ascii="Arial" w:hAnsi="Arial" w:cs="Arial"/>
              </w:rPr>
              <w:t>5</w:t>
            </w:r>
            <w:r w:rsidRPr="001B5772">
              <w:rPr>
                <w:rFonts w:ascii="Arial" w:hAnsi="Arial" w:cs="Arial"/>
              </w:rPr>
              <w:t>. Com manutenção preventiva e corretiva. Com condutor, monitor e fornecimento de combustível. VIAS NÃO PAVIMENTADAS.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3710D" w14:textId="77777777" w:rsidR="001B5772" w:rsidRPr="001B5772" w:rsidRDefault="001B5772" w:rsidP="00107A88">
            <w:pPr>
              <w:pStyle w:val="SemEspaamento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KM</w:t>
            </w:r>
          </w:p>
          <w:p w14:paraId="67C4AFE6" w14:textId="77777777" w:rsidR="001B5772" w:rsidRPr="001B5772" w:rsidRDefault="001B5772" w:rsidP="001B5772">
            <w:pPr>
              <w:pStyle w:val="SemEspaamento"/>
              <w:ind w:left="142" w:right="390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rodado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02E3" w14:textId="77777777" w:rsidR="001B5772" w:rsidRPr="001B5772" w:rsidRDefault="001B5772" w:rsidP="00107A88">
            <w:pPr>
              <w:pStyle w:val="SemEspaamento"/>
              <w:ind w:left="-26" w:right="110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Riacho</w:t>
            </w:r>
          </w:p>
          <w:p w14:paraId="4584BF31" w14:textId="77777777" w:rsidR="001B5772" w:rsidRPr="001B5772" w:rsidRDefault="001B5772" w:rsidP="00107A88">
            <w:pPr>
              <w:pStyle w:val="SemEspaamento"/>
              <w:ind w:left="-26" w:right="110"/>
              <w:jc w:val="both"/>
              <w:rPr>
                <w:rFonts w:ascii="Arial" w:hAnsi="Arial" w:cs="Arial"/>
              </w:rPr>
            </w:pPr>
          </w:p>
          <w:p w14:paraId="10A7970A" w14:textId="77777777" w:rsidR="001B5772" w:rsidRPr="001B5772" w:rsidRDefault="001B5772" w:rsidP="00107A88">
            <w:pPr>
              <w:pStyle w:val="SemEspaamento"/>
              <w:ind w:left="-26" w:right="110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Ônibus saindo da comunidade de Riacho, indo até a fazenda Jacuba, retornando para Riacho e seguindo para a comunidade de retiro e chegando da Estiva. (02 viagens) ida e volta no retorno da escola, ônibus passando pela comunidade de Dois Córregos, chegando na comunidade de Retiro e retorno a escola.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5A251E" w14:textId="77777777" w:rsidR="001B5772" w:rsidRPr="001B5772" w:rsidRDefault="001B5772" w:rsidP="001B5772">
            <w:pPr>
              <w:pStyle w:val="SemEspaamento"/>
              <w:ind w:left="142" w:right="390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4E9225" w14:textId="77777777" w:rsidR="001B5772" w:rsidRPr="001B5772" w:rsidRDefault="001B5772" w:rsidP="001B5772">
            <w:pPr>
              <w:pStyle w:val="SemEspaamento"/>
              <w:ind w:left="142" w:right="390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133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49494B" w14:textId="77777777" w:rsidR="001B5772" w:rsidRPr="001B5772" w:rsidRDefault="001B5772" w:rsidP="001B5772">
            <w:pPr>
              <w:pStyle w:val="SemEspaamento"/>
              <w:ind w:left="142" w:right="390"/>
              <w:jc w:val="both"/>
              <w:rPr>
                <w:rFonts w:ascii="Arial" w:hAnsi="Arial" w:cs="Arial"/>
              </w:rPr>
            </w:pPr>
            <w:r w:rsidRPr="001B5772">
              <w:rPr>
                <w:rFonts w:ascii="Arial" w:hAnsi="Arial" w:cs="Arial"/>
              </w:rPr>
              <w:t>26.600</w:t>
            </w:r>
          </w:p>
          <w:p w14:paraId="408D9066" w14:textId="77777777" w:rsidR="001B5772" w:rsidRPr="001B5772" w:rsidRDefault="001B5772" w:rsidP="001B5772">
            <w:pPr>
              <w:pStyle w:val="SemEspaamento"/>
              <w:ind w:left="142" w:right="390"/>
              <w:jc w:val="both"/>
              <w:rPr>
                <w:rFonts w:ascii="Arial" w:hAnsi="Arial" w:cs="Arial"/>
              </w:rPr>
            </w:pPr>
          </w:p>
        </w:tc>
      </w:tr>
    </w:tbl>
    <w:p w14:paraId="40C1D134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6839865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617A5918" w14:textId="77777777" w:rsidR="001B5772" w:rsidRPr="00107A88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07A88">
        <w:rPr>
          <w:rFonts w:ascii="Arial" w:hAnsi="Arial" w:cs="Arial"/>
          <w:b/>
          <w:bCs/>
        </w:rPr>
        <w:t>ESTIMATIVA DO VALOR DA CONTRATAÇÃO</w:t>
      </w:r>
    </w:p>
    <w:p w14:paraId="2DB8D7F8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Valor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estimado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1B5772">
        <w:rPr>
          <w:rFonts w:ascii="Arial" w:hAnsi="Arial" w:cs="Arial"/>
        </w:rPr>
        <w:t xml:space="preserve"> contratação:</w:t>
      </w:r>
    </w:p>
    <w:p w14:paraId="27420E4D" w14:textId="4FDB1F52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 mapa de preços, produzidos a partir de pesquisa de mercado, a presente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está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estimada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1B5772">
        <w:rPr>
          <w:rFonts w:ascii="Arial" w:hAnsi="Arial" w:cs="Arial"/>
        </w:rPr>
        <w:t>$</w:t>
      </w:r>
      <w:r w:rsidR="00A07AF5">
        <w:rPr>
          <w:rFonts w:ascii="Arial" w:hAnsi="Arial" w:cs="Arial"/>
        </w:rPr>
        <w:t xml:space="preserve"> </w:t>
      </w:r>
      <w:r w:rsidR="003F0C4D">
        <w:rPr>
          <w:rFonts w:ascii="Arial" w:hAnsi="Arial" w:cs="Arial"/>
        </w:rPr>
        <w:t>214.130,00 (Duzentos e quatorze mil cento e trinta reais)</w:t>
      </w:r>
      <w:r w:rsidRPr="001B5772">
        <w:rPr>
          <w:rFonts w:ascii="Arial" w:hAnsi="Arial" w:cs="Arial"/>
        </w:rPr>
        <w:t>.</w:t>
      </w:r>
    </w:p>
    <w:p w14:paraId="2C2B6535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pesquisas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diversos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fornecedores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foram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necessárias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cálculo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média dos preços, que será utilizada como preço referencial.</w:t>
      </w:r>
    </w:p>
    <w:p w14:paraId="17D675CD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Metodologia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aplicada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pesquisa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preço:</w:t>
      </w:r>
    </w:p>
    <w:p w14:paraId="19720142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acordo com o Art. 23 da Lei Federal 14.133/21, a qual dispõem sobre os procedimentos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administrativos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básicos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pesquisa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aquisição 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geral,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efetuada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pesquisa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preços.</w:t>
      </w:r>
    </w:p>
    <w:p w14:paraId="6711BF20" w14:textId="77777777" w:rsidR="00107A88" w:rsidRDefault="00107A88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45A6F4E7" w14:textId="6E63005C" w:rsidR="001B5772" w:rsidRPr="00107A88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07A88">
        <w:rPr>
          <w:rFonts w:ascii="Arial" w:hAnsi="Arial" w:cs="Arial"/>
          <w:b/>
          <w:bCs/>
        </w:rPr>
        <w:t>DESCRIÇÃO DA SOLUÇÃO COMO UM TODO</w:t>
      </w:r>
    </w:p>
    <w:p w14:paraId="310E170A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 solução proposta é a contratação de empresa especializada para a prestação de serviços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Transporte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Escolar,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suprir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demanda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educandos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Pública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Ensino Municipal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Estadual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matriculados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educação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básica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município,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área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rural e necessitam de Transporte Escolar para se deslocarem de suas residências até as unidades de </w:t>
      </w:r>
      <w:r w:rsidRPr="001B5772">
        <w:rPr>
          <w:rFonts w:ascii="Arial" w:hAnsi="Arial" w:cs="Arial"/>
        </w:rPr>
        <w:t>ensino.</w:t>
      </w:r>
    </w:p>
    <w:p w14:paraId="04969B4D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20D08316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 terceirização do Transporte Escolar apresenta-se mais interessante uma vez que atende às determinações legais, reduz custos operacionais e administrativos, conferindo à contratada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responsabilidade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manter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regularmente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transporte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estudantes,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opção mais viável e econômica para a Secretaria Municipal de Educação;</w:t>
      </w:r>
    </w:p>
    <w:p w14:paraId="7A41999D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contratação consiste na prestação de serviço continuado de Transporte Escolar, incluindo os veículos e mão de obra necessária para sua efetivação, com pagamentos mensais à contratada, que deverá manter os veículos devidamente regularizados juntos aos órgãos de </w:t>
      </w:r>
      <w:r w:rsidRPr="001B5772">
        <w:rPr>
          <w:rFonts w:ascii="Arial" w:hAnsi="Arial" w:cs="Arial"/>
        </w:rPr>
        <w:t>fiscalização.</w:t>
      </w:r>
    </w:p>
    <w:p w14:paraId="41AF05D6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Destaca-se, ainda que se faz necessário a contratação de empresa terceirizada especializada em Transporte Escolar, para suprir a demanda de educandos matriculados na Rede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Pública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Ensino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Estadual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Municipal,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cumprir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obrigação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órgãos responsáveis, bem como proporcionar aos educandos o acesso e permanência nas unidades de </w:t>
      </w:r>
      <w:r w:rsidRPr="001B5772">
        <w:rPr>
          <w:rFonts w:ascii="Arial" w:hAnsi="Arial" w:cs="Arial"/>
        </w:rPr>
        <w:t>ensino.</w:t>
      </w:r>
    </w:p>
    <w:p w14:paraId="727FA87F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contratação será pelo período de 1 (um) ano, considerando-se que a proposta se mantenha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vantajosa,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podendo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prorrogado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até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período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máximo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previsto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referida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nos termos do artigo 107.</w:t>
      </w:r>
    </w:p>
    <w:p w14:paraId="26701476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O Itinerário Transporte Escolar foi elaborado para melhor elucidação das linhas a serem percorridas durante a execução do contrato. As quilometragens e rotas indicadas no descritivo, servem apenas de referência para o ano letivo, não constituindo em hipótese nenhuma obrigação por parte da Secretaria Municipal de Educação de efetuá-las, podendo ser menor ou maior, de acordo com suas necessidades, ou ainda, a Administração poderá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solicitar que as viagens se originem de outros locais, o que deverá ser previamente informado a </w:t>
      </w:r>
      <w:r w:rsidRPr="001B5772">
        <w:rPr>
          <w:rFonts w:ascii="Arial" w:hAnsi="Arial" w:cs="Arial"/>
        </w:rPr>
        <w:t>contratada.</w:t>
      </w:r>
    </w:p>
    <w:p w14:paraId="34CDC451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 elaboração da proposta, de acordo com o calendário escolar deverá ser considerado, aproximadamente, 200 dias letivos, podendo haver sábados letivos e atividades </w:t>
      </w:r>
      <w:r w:rsidRPr="001B5772">
        <w:rPr>
          <w:rFonts w:ascii="Arial" w:hAnsi="Arial" w:cs="Arial"/>
        </w:rPr>
        <w:t xml:space="preserve">pedagógicas. </w:t>
      </w:r>
    </w:p>
    <w:p w14:paraId="54F11BE9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40C8943C" w14:textId="77777777" w:rsidR="001B5772" w:rsidRPr="00107A88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07A88">
        <w:rPr>
          <w:rFonts w:ascii="Arial" w:hAnsi="Arial" w:cs="Arial"/>
          <w:b/>
          <w:bCs/>
        </w:rPr>
        <w:t>JUSTIFICATIVA PARA O PARCELAMENTO OU NÃO DA CONTRATAÇÃO</w:t>
      </w:r>
    </w:p>
    <w:p w14:paraId="69EB8C6C" w14:textId="722138C0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licitação será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</w:t>
      </w:r>
      <w:r w:rsidR="00107A88">
        <w:rPr>
          <w:rFonts w:ascii="Arial" w:hAnsi="Arial" w:cs="Arial"/>
        </w:rPr>
        <w:t>quilômetros</w:t>
      </w:r>
      <w:r>
        <w:rPr>
          <w:rFonts w:ascii="Arial" w:hAnsi="Arial" w:cs="Arial"/>
        </w:rPr>
        <w:t xml:space="preserve"> rodados por dia  uma vez que pode acontecer de algum dia </w:t>
      </w:r>
      <w:r w:rsidR="00107A88">
        <w:rPr>
          <w:rFonts w:ascii="Arial" w:hAnsi="Arial" w:cs="Arial"/>
        </w:rPr>
        <w:t>diminuir</w:t>
      </w:r>
      <w:r>
        <w:rPr>
          <w:rFonts w:ascii="Arial" w:hAnsi="Arial" w:cs="Arial"/>
        </w:rPr>
        <w:t xml:space="preserve"> </w:t>
      </w:r>
      <w:r w:rsidR="00107A88">
        <w:rPr>
          <w:rFonts w:ascii="Arial" w:hAnsi="Arial" w:cs="Arial"/>
        </w:rPr>
        <w:t>quilometragem</w:t>
      </w:r>
      <w:r>
        <w:rPr>
          <w:rFonts w:ascii="Arial" w:hAnsi="Arial" w:cs="Arial"/>
        </w:rPr>
        <w:t xml:space="preserve"> porque </w:t>
      </w:r>
      <w:r w:rsidR="00107A88">
        <w:rPr>
          <w:rFonts w:ascii="Arial" w:hAnsi="Arial" w:cs="Arial"/>
        </w:rPr>
        <w:t>não</w:t>
      </w:r>
      <w:r>
        <w:rPr>
          <w:rFonts w:ascii="Arial" w:hAnsi="Arial" w:cs="Arial"/>
        </w:rPr>
        <w:t xml:space="preserve"> foi em algum ponto 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virtude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aluno </w:t>
      </w:r>
      <w:r w:rsidR="00107A88">
        <w:rPr>
          <w:rFonts w:ascii="Arial" w:hAnsi="Arial" w:cs="Arial"/>
        </w:rPr>
        <w:t>não</w:t>
      </w:r>
      <w:r>
        <w:rPr>
          <w:rFonts w:ascii="Arial" w:hAnsi="Arial" w:cs="Arial"/>
        </w:rPr>
        <w:t xml:space="preserve"> ir a aula.</w:t>
      </w:r>
    </w:p>
    <w:p w14:paraId="0C770825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4D801F0D" w14:textId="77777777" w:rsidR="001B5772" w:rsidRPr="00107A88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07A88">
        <w:rPr>
          <w:rFonts w:ascii="Arial" w:hAnsi="Arial" w:cs="Arial"/>
          <w:b/>
          <w:bCs/>
        </w:rPr>
        <w:t>RESULTADOS PRETENDIDOS</w:t>
      </w:r>
    </w:p>
    <w:p w14:paraId="4734049F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Apresentam-se como resultados a serem alcançados: a economicidade a ser obtida pela Administração,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contratação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forma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global;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segurança de contratar empresa habilitada para execução dos serviços de transporte escolar e a significante contribuição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diminuição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taxas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evasão,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suprindo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necessidade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básica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educando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proporcionando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condições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permanência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melhor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desempenho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1B5772">
        <w:rPr>
          <w:rFonts w:ascii="Arial" w:hAnsi="Arial" w:cs="Arial"/>
        </w:rPr>
        <w:t xml:space="preserve"> escola.</w:t>
      </w:r>
    </w:p>
    <w:p w14:paraId="31A22BDE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Pretende-se, com o presente processo licitatório, assegurar a seleção da proposta apta a gerar a contratação mais vantajosa para o Município.</w:t>
      </w:r>
    </w:p>
    <w:p w14:paraId="3579B0E7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Almeja-se, igualmente, assegurar tratamento isonômico entre os licitantes, bem como a </w:t>
      </w:r>
    </w:p>
    <w:p w14:paraId="18844BD0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justa competição, bem como evitar contratação com sobrepreço ou com preço manifestamente inexequível e superfaturamento na execução do contrato.</w:t>
      </w:r>
    </w:p>
    <w:p w14:paraId="265D1F64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1087F6C3" w14:textId="7F8B2059" w:rsidR="001B5772" w:rsidRPr="001B5772" w:rsidRDefault="001B5772" w:rsidP="00107A88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lastRenderedPageBreak/>
        <w:t xml:space="preserve"> Avaliação do usuário</w:t>
      </w:r>
    </w:p>
    <w:p w14:paraId="4B124572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Acessibilidade – trata-se da possibilidade dos alunos, inclusive os com deficiência, usufruírem com segurança do transporte escolar;</w:t>
      </w:r>
    </w:p>
    <w:p w14:paraId="16FEFF82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Assertividade – refere-se ao sucesso da operação do serviço de transporte escolar, isto é, transportar cada aluno do ponto de embarque à escola e da unidade de ensino até o ponto de desembarque;</w:t>
      </w:r>
    </w:p>
    <w:p w14:paraId="4F9CD094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Pontualidade – medida do grau de cumprimento dos horários previstos ao transportar os alunos em observância aos horários das atividades escolares;</w:t>
      </w:r>
    </w:p>
    <w:p w14:paraId="4DFA9A00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Conforto – condições de bem-estar do aluno a partir da espera do veículo, da sua permanência dentro dele e até as suas condições físicas durante as atividades escolares;</w:t>
      </w:r>
    </w:p>
    <w:p w14:paraId="21F2E2D8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Cortesia – tratamento respeitoso dos prestadores de serviço com os alunos;</w:t>
      </w:r>
    </w:p>
    <w:p w14:paraId="7DF54112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Higiene – indica condições higiênico-sanitárias do veículo e dos pontos de embarque e desembarque;</w:t>
      </w:r>
    </w:p>
    <w:p w14:paraId="44CE501E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Segurança – aspectos de segurança durante a circulação, tanto no acesso e no veículo, bem como àquilo que se refere à segurança pública;</w:t>
      </w:r>
    </w:p>
    <w:p w14:paraId="39E45D0D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Atualidade – adaptação contínua do serviço de transporte escolar às demandas sociais. Exemplos: inclusão de novos alunos, mudanças de residência e definição de novos pontos de embarque/desembarque, e,</w:t>
      </w:r>
    </w:p>
    <w:p w14:paraId="08D28083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0E98CB54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Legalidade – atendimento dos requisitos legais exigidos para a execução do Transporte escolar, desde a aplicação das leis que regem o transporte de passageiros, especificações contratuais e normas técnicas cabíveis.</w:t>
      </w:r>
    </w:p>
    <w:p w14:paraId="16BD0FAA" w14:textId="77777777" w:rsidR="001B5772" w:rsidRP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contratação decorrente do presente processo licitatório exigirá da contratada o cumprimento das boas práticas de sustentabilidade, contribuindo para a racionalização e otimização do uso dos recursos, bem como para a redução dos impactos ambientais.</w:t>
      </w:r>
    </w:p>
    <w:p w14:paraId="6E0E9E6F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41E0F293" w14:textId="77777777" w:rsidR="001B5772" w:rsidRPr="00107A88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07A88">
        <w:rPr>
          <w:rFonts w:ascii="Arial" w:hAnsi="Arial" w:cs="Arial"/>
          <w:b/>
          <w:bCs/>
        </w:rPr>
        <w:t>PROVIDÊNCIAS PRÉVIAS AO CONTRATO E FISCAIS</w:t>
      </w:r>
    </w:p>
    <w:p w14:paraId="6DC6BAC1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 w:rsidRPr="001B5772">
        <w:rPr>
          <w:rFonts w:ascii="Arial" w:hAnsi="Arial" w:cs="Arial"/>
        </w:rPr>
        <w:t>Deverá ser designado um gestor e um fiscal para o contrato, que serão responsáveis pelo controle e fiscalização da prestação de serviço</w:t>
      </w:r>
      <w:r>
        <w:rPr>
          <w:rFonts w:ascii="Arial" w:hAnsi="Arial" w:cs="Arial"/>
        </w:rPr>
        <w:t>.</w:t>
      </w:r>
    </w:p>
    <w:p w14:paraId="7BF777A5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5FB5E6C2" w14:textId="77777777" w:rsidR="001B5772" w:rsidRPr="00107A88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07A88">
        <w:rPr>
          <w:rFonts w:ascii="Arial" w:hAnsi="Arial" w:cs="Arial"/>
          <w:b/>
          <w:bCs/>
        </w:rPr>
        <w:t>CONTRATAÇÕES CORRELATAS E/OU INTERDEPENDENTES</w:t>
      </w:r>
    </w:p>
    <w:p w14:paraId="60627704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não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identificou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necessidade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realizar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contratações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acessórias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</w:t>
      </w:r>
      <w:r w:rsidRPr="001B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perfeita execução do objeto, uma vez que todos os meios necessários para a aquisição/operacionalização dos serviços podem ser supridos apenas com a contratação ora </w:t>
      </w:r>
      <w:r w:rsidRPr="001B5772">
        <w:rPr>
          <w:rFonts w:ascii="Arial" w:hAnsi="Arial" w:cs="Arial"/>
        </w:rPr>
        <w:t>proposta.</w:t>
      </w:r>
    </w:p>
    <w:p w14:paraId="3C7CCCCA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Os bens/serviços que se pretende, portanto, são autônomos e prescindem de contratações correlatas ou interdependentes.</w:t>
      </w:r>
    </w:p>
    <w:p w14:paraId="1AC93049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334E1E43" w14:textId="77777777" w:rsidR="001B5772" w:rsidRPr="00107A88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07A88">
        <w:rPr>
          <w:rFonts w:ascii="Arial" w:hAnsi="Arial" w:cs="Arial"/>
          <w:b/>
          <w:bCs/>
        </w:rPr>
        <w:t>POSSÍVEIS IMPACTOS AMBIENTAIS</w:t>
      </w:r>
    </w:p>
    <w:p w14:paraId="56EBBD97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>Deverá ser recomendado ao licitante vencedor, conforme previsão neste instrumento, que a contratada deverá adotar práticas de sustentabilidade na execução dos serviços, conforme orientações do art. 6° da IN n° 01/2010 (Compras Sustentáveis).</w:t>
      </w:r>
    </w:p>
    <w:p w14:paraId="2CD52E1C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</w:p>
    <w:p w14:paraId="0956C35D" w14:textId="77777777" w:rsidR="001B5772" w:rsidRPr="00107A88" w:rsidRDefault="001B5772" w:rsidP="001B5772">
      <w:pPr>
        <w:pStyle w:val="SemEspaamento"/>
        <w:ind w:left="142" w:right="390"/>
        <w:jc w:val="both"/>
        <w:rPr>
          <w:rFonts w:ascii="Arial" w:hAnsi="Arial" w:cs="Arial"/>
          <w:b/>
          <w:bCs/>
        </w:rPr>
      </w:pPr>
      <w:r w:rsidRPr="00107A88">
        <w:rPr>
          <w:rFonts w:ascii="Arial" w:hAnsi="Arial" w:cs="Arial"/>
          <w:b/>
          <w:bCs/>
        </w:rPr>
        <w:t>DECLARAÇÃO DE VIABILIDADE</w:t>
      </w:r>
    </w:p>
    <w:p w14:paraId="60917C6F" w14:textId="77777777" w:rsidR="001B5772" w:rsidRDefault="001B5772" w:rsidP="001B5772">
      <w:pPr>
        <w:pStyle w:val="SemEspaamento"/>
        <w:ind w:left="142" w:right="3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base na justificativa e nas especificações técnicas constantes neste Estudo Técnico Preliminar e seus anexos, e na existência de planejamento orçamentário para subsidiar está contratação, declaramos que a contratação é viável, atendendo aos padrões e preços de mercado.                </w:t>
      </w:r>
    </w:p>
    <w:p w14:paraId="485F8A43" w14:textId="6E277AA7" w:rsidR="001B5772" w:rsidRDefault="001B5772" w:rsidP="00107A88">
      <w:pPr>
        <w:pStyle w:val="SemEspaamento"/>
        <w:ind w:left="142" w:right="39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Carbonita</w:t>
      </w:r>
      <w:r w:rsidR="00C5643D">
        <w:rPr>
          <w:rFonts w:ascii="Arial" w:hAnsi="Arial" w:cs="Arial"/>
        </w:rPr>
        <w:t>/MG</w:t>
      </w:r>
      <w:r>
        <w:rPr>
          <w:rFonts w:ascii="Arial" w:hAnsi="Arial" w:cs="Arial"/>
        </w:rPr>
        <w:t xml:space="preserve"> </w:t>
      </w:r>
      <w:r w:rsidR="00C5643D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C5643D">
        <w:rPr>
          <w:rFonts w:ascii="Arial" w:hAnsi="Arial" w:cs="Arial"/>
        </w:rPr>
        <w:t>janeiro</w:t>
      </w:r>
      <w:r w:rsidR="00A07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202</w:t>
      </w:r>
      <w:r w:rsidR="00C5643D">
        <w:rPr>
          <w:rFonts w:ascii="Arial" w:hAnsi="Arial" w:cs="Arial"/>
        </w:rPr>
        <w:t>6.</w:t>
      </w:r>
    </w:p>
    <w:p w14:paraId="29670CCA" w14:textId="613CF2D4" w:rsidR="001B5772" w:rsidRDefault="001B5772" w:rsidP="00107A88">
      <w:pPr>
        <w:pStyle w:val="SemEspaamento"/>
        <w:ind w:left="142" w:right="39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14:paraId="7A24C1BF" w14:textId="77777777" w:rsidR="002F7E9B" w:rsidRDefault="001B5772" w:rsidP="00A07AF5">
      <w:pPr>
        <w:pStyle w:val="SemEspaamento"/>
        <w:ind w:left="142" w:right="390"/>
        <w:jc w:val="center"/>
        <w:rPr>
          <w:rFonts w:ascii="Arial" w:hAnsi="Arial" w:cs="Arial"/>
          <w:b/>
          <w:bCs/>
        </w:rPr>
      </w:pPr>
      <w:r w:rsidRPr="00A07AF5">
        <w:rPr>
          <w:rFonts w:ascii="Arial" w:hAnsi="Arial" w:cs="Arial"/>
          <w:b/>
          <w:bCs/>
        </w:rPr>
        <w:t>Vanda Helena Moreira</w:t>
      </w:r>
    </w:p>
    <w:p w14:paraId="00000025" w14:textId="6A773478" w:rsidR="0032720A" w:rsidRPr="001B5772" w:rsidRDefault="001B5772" w:rsidP="00A07AF5">
      <w:pPr>
        <w:pStyle w:val="SemEspaamento"/>
        <w:ind w:left="142" w:right="390"/>
        <w:jc w:val="center"/>
        <w:rPr>
          <w:rFonts w:ascii="Arial" w:hAnsi="Arial" w:cs="Arial"/>
        </w:rPr>
      </w:pPr>
      <w:r w:rsidRPr="00A07AF5">
        <w:rPr>
          <w:rFonts w:ascii="Arial" w:hAnsi="Arial" w:cs="Arial"/>
          <w:b/>
          <w:bCs/>
        </w:rPr>
        <w:t>Secretária de Educação</w:t>
      </w:r>
    </w:p>
    <w:sectPr w:rsidR="0032720A" w:rsidRPr="001B5772" w:rsidSect="002F5C28">
      <w:headerReference w:type="default" r:id="rId8"/>
      <w:pgSz w:w="11906" w:h="16838"/>
      <w:pgMar w:top="1440" w:right="1080" w:bottom="1440" w:left="1080" w:header="0" w:footer="1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45C5" w14:textId="77777777" w:rsidR="007C6F02" w:rsidRDefault="007C6F02" w:rsidP="00D12419">
      <w:pPr>
        <w:spacing w:after="0" w:line="240" w:lineRule="auto"/>
      </w:pPr>
      <w:r>
        <w:separator/>
      </w:r>
    </w:p>
  </w:endnote>
  <w:endnote w:type="continuationSeparator" w:id="0">
    <w:p w14:paraId="23157609" w14:textId="77777777" w:rsidR="007C6F02" w:rsidRDefault="007C6F02" w:rsidP="00D1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873E" w14:textId="77777777" w:rsidR="007C6F02" w:rsidRDefault="007C6F02" w:rsidP="00D12419">
      <w:pPr>
        <w:spacing w:after="0" w:line="240" w:lineRule="auto"/>
      </w:pPr>
      <w:r>
        <w:separator/>
      </w:r>
    </w:p>
  </w:footnote>
  <w:footnote w:type="continuationSeparator" w:id="0">
    <w:p w14:paraId="34D14FFD" w14:textId="77777777" w:rsidR="007C6F02" w:rsidRDefault="007C6F02" w:rsidP="00D1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AC0D" w14:textId="3E4BF1A4" w:rsidR="00D12419" w:rsidRDefault="002F5C28" w:rsidP="00D12419">
    <w:pPr>
      <w:pStyle w:val="Cabealho"/>
    </w:pPr>
    <w:r>
      <w:rPr>
        <w:noProof/>
      </w:rPr>
      <w:drawing>
        <wp:inline distT="0" distB="0" distL="0" distR="0" wp14:anchorId="11FF1233" wp14:editId="733C3DDE">
          <wp:extent cx="6188710" cy="1121760"/>
          <wp:effectExtent l="0" t="0" r="2540" b="254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12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14B27" w14:textId="77777777" w:rsidR="00D12419" w:rsidRDefault="00D124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35B"/>
    <w:multiLevelType w:val="multilevel"/>
    <w:tmpl w:val="EE2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F6A21"/>
    <w:multiLevelType w:val="multilevel"/>
    <w:tmpl w:val="65AE427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536C29"/>
    <w:multiLevelType w:val="multilevel"/>
    <w:tmpl w:val="5A54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247D01"/>
    <w:multiLevelType w:val="multilevel"/>
    <w:tmpl w:val="C884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A1453"/>
    <w:multiLevelType w:val="multilevel"/>
    <w:tmpl w:val="E96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62DD6"/>
    <w:multiLevelType w:val="multilevel"/>
    <w:tmpl w:val="36E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DA2DBF"/>
    <w:multiLevelType w:val="multilevel"/>
    <w:tmpl w:val="8922658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5F6BA2"/>
    <w:multiLevelType w:val="multilevel"/>
    <w:tmpl w:val="E9C4938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885F5E"/>
    <w:multiLevelType w:val="multilevel"/>
    <w:tmpl w:val="ABC2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BC1398"/>
    <w:multiLevelType w:val="multilevel"/>
    <w:tmpl w:val="D430E3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4A594D"/>
    <w:multiLevelType w:val="multilevel"/>
    <w:tmpl w:val="664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95592F"/>
    <w:multiLevelType w:val="multilevel"/>
    <w:tmpl w:val="2E6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8141D"/>
    <w:multiLevelType w:val="multilevel"/>
    <w:tmpl w:val="818081D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06551EE"/>
    <w:multiLevelType w:val="multilevel"/>
    <w:tmpl w:val="BB1E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32B3E"/>
    <w:multiLevelType w:val="multilevel"/>
    <w:tmpl w:val="58E6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C7178"/>
    <w:multiLevelType w:val="multilevel"/>
    <w:tmpl w:val="93FA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CB7573"/>
    <w:multiLevelType w:val="multilevel"/>
    <w:tmpl w:val="00BA450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A4773E7"/>
    <w:multiLevelType w:val="multilevel"/>
    <w:tmpl w:val="50CA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6679F"/>
    <w:multiLevelType w:val="multilevel"/>
    <w:tmpl w:val="1AA2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FD0DCF"/>
    <w:multiLevelType w:val="multilevel"/>
    <w:tmpl w:val="EDFA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4E1616"/>
    <w:multiLevelType w:val="multilevel"/>
    <w:tmpl w:val="0936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021E94"/>
    <w:multiLevelType w:val="multilevel"/>
    <w:tmpl w:val="9F22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02DA9"/>
    <w:multiLevelType w:val="hybridMultilevel"/>
    <w:tmpl w:val="39EC915A"/>
    <w:lvl w:ilvl="0" w:tplc="D57EBE0A">
      <w:start w:val="1"/>
      <w:numFmt w:val="decimal"/>
      <w:lvlText w:val="%1)"/>
      <w:lvlJc w:val="left"/>
      <w:pPr>
        <w:ind w:left="1589" w:hanging="358"/>
      </w:pPr>
      <w:rPr>
        <w:b/>
        <w:bCs/>
        <w:spacing w:val="-1"/>
        <w:w w:val="100"/>
        <w:lang w:val="pt-PT" w:eastAsia="en-US" w:bidi="ar-SA"/>
      </w:rPr>
    </w:lvl>
    <w:lvl w:ilvl="1" w:tplc="45764DE8">
      <w:numFmt w:val="bullet"/>
      <w:lvlText w:val="•"/>
      <w:lvlJc w:val="left"/>
      <w:pPr>
        <w:ind w:left="2556" w:hanging="358"/>
      </w:pPr>
      <w:rPr>
        <w:lang w:val="pt-PT" w:eastAsia="en-US" w:bidi="ar-SA"/>
      </w:rPr>
    </w:lvl>
    <w:lvl w:ilvl="2" w:tplc="259E88A0">
      <w:numFmt w:val="bullet"/>
      <w:lvlText w:val="•"/>
      <w:lvlJc w:val="left"/>
      <w:pPr>
        <w:ind w:left="3533" w:hanging="358"/>
      </w:pPr>
      <w:rPr>
        <w:lang w:val="pt-PT" w:eastAsia="en-US" w:bidi="ar-SA"/>
      </w:rPr>
    </w:lvl>
    <w:lvl w:ilvl="3" w:tplc="DE7239D0">
      <w:numFmt w:val="bullet"/>
      <w:lvlText w:val="•"/>
      <w:lvlJc w:val="left"/>
      <w:pPr>
        <w:ind w:left="4509" w:hanging="358"/>
      </w:pPr>
      <w:rPr>
        <w:lang w:val="pt-PT" w:eastAsia="en-US" w:bidi="ar-SA"/>
      </w:rPr>
    </w:lvl>
    <w:lvl w:ilvl="4" w:tplc="6C3EFC16">
      <w:numFmt w:val="bullet"/>
      <w:lvlText w:val="•"/>
      <w:lvlJc w:val="left"/>
      <w:pPr>
        <w:ind w:left="5486" w:hanging="358"/>
      </w:pPr>
      <w:rPr>
        <w:lang w:val="pt-PT" w:eastAsia="en-US" w:bidi="ar-SA"/>
      </w:rPr>
    </w:lvl>
    <w:lvl w:ilvl="5" w:tplc="8B54A4A8">
      <w:numFmt w:val="bullet"/>
      <w:lvlText w:val="•"/>
      <w:lvlJc w:val="left"/>
      <w:pPr>
        <w:ind w:left="6462" w:hanging="358"/>
      </w:pPr>
      <w:rPr>
        <w:lang w:val="pt-PT" w:eastAsia="en-US" w:bidi="ar-SA"/>
      </w:rPr>
    </w:lvl>
    <w:lvl w:ilvl="6" w:tplc="29668F60">
      <w:numFmt w:val="bullet"/>
      <w:lvlText w:val="•"/>
      <w:lvlJc w:val="left"/>
      <w:pPr>
        <w:ind w:left="7439" w:hanging="358"/>
      </w:pPr>
      <w:rPr>
        <w:lang w:val="pt-PT" w:eastAsia="en-US" w:bidi="ar-SA"/>
      </w:rPr>
    </w:lvl>
    <w:lvl w:ilvl="7" w:tplc="FC1A381C">
      <w:numFmt w:val="bullet"/>
      <w:lvlText w:val="•"/>
      <w:lvlJc w:val="left"/>
      <w:pPr>
        <w:ind w:left="8415" w:hanging="358"/>
      </w:pPr>
      <w:rPr>
        <w:lang w:val="pt-PT" w:eastAsia="en-US" w:bidi="ar-SA"/>
      </w:rPr>
    </w:lvl>
    <w:lvl w:ilvl="8" w:tplc="E6B43E78">
      <w:numFmt w:val="bullet"/>
      <w:lvlText w:val="•"/>
      <w:lvlJc w:val="left"/>
      <w:pPr>
        <w:ind w:left="9392" w:hanging="358"/>
      </w:pPr>
      <w:rPr>
        <w:lang w:val="pt-PT" w:eastAsia="en-US" w:bidi="ar-SA"/>
      </w:rPr>
    </w:lvl>
  </w:abstractNum>
  <w:abstractNum w:abstractNumId="23" w15:restartNumberingAfterBreak="0">
    <w:nsid w:val="48D67E5A"/>
    <w:multiLevelType w:val="multilevel"/>
    <w:tmpl w:val="4196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2857EB"/>
    <w:multiLevelType w:val="multilevel"/>
    <w:tmpl w:val="5732B18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BC041D8"/>
    <w:multiLevelType w:val="hybridMultilevel"/>
    <w:tmpl w:val="5B0423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3717F"/>
    <w:multiLevelType w:val="multilevel"/>
    <w:tmpl w:val="CFC2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D0191"/>
    <w:multiLevelType w:val="multilevel"/>
    <w:tmpl w:val="675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C0F19"/>
    <w:multiLevelType w:val="multilevel"/>
    <w:tmpl w:val="AC66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92EF8"/>
    <w:multiLevelType w:val="multilevel"/>
    <w:tmpl w:val="5DDA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F848D4"/>
    <w:multiLevelType w:val="multilevel"/>
    <w:tmpl w:val="8348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E84C79"/>
    <w:multiLevelType w:val="multilevel"/>
    <w:tmpl w:val="EBFE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9353A6"/>
    <w:multiLevelType w:val="multilevel"/>
    <w:tmpl w:val="AC189AB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FC72847"/>
    <w:multiLevelType w:val="multilevel"/>
    <w:tmpl w:val="DAAA5CE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48916C7"/>
    <w:multiLevelType w:val="multilevel"/>
    <w:tmpl w:val="FEA806C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7C825B1"/>
    <w:multiLevelType w:val="multilevel"/>
    <w:tmpl w:val="5B6E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211A6E"/>
    <w:multiLevelType w:val="multilevel"/>
    <w:tmpl w:val="2FD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511620"/>
    <w:multiLevelType w:val="multilevel"/>
    <w:tmpl w:val="E0246B5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2B548A9"/>
    <w:multiLevelType w:val="multilevel"/>
    <w:tmpl w:val="9904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734DC0"/>
    <w:multiLevelType w:val="multilevel"/>
    <w:tmpl w:val="FD60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CE69BA"/>
    <w:multiLevelType w:val="multilevel"/>
    <w:tmpl w:val="C6006B2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68234ED"/>
    <w:multiLevelType w:val="hybridMultilevel"/>
    <w:tmpl w:val="77BE2598"/>
    <w:lvl w:ilvl="0" w:tplc="73B8FBAC">
      <w:start w:val="2"/>
      <w:numFmt w:val="decimal"/>
      <w:lvlText w:val="%1."/>
      <w:lvlJc w:val="left"/>
      <w:pPr>
        <w:ind w:left="14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>
      <w:start w:val="1"/>
      <w:numFmt w:val="lowerRoman"/>
      <w:lvlText w:val="%3."/>
      <w:lvlJc w:val="right"/>
      <w:pPr>
        <w:ind w:left="2935" w:hanging="180"/>
      </w:pPr>
    </w:lvl>
    <w:lvl w:ilvl="3" w:tplc="0416000F">
      <w:start w:val="1"/>
      <w:numFmt w:val="decimal"/>
      <w:lvlText w:val="%4."/>
      <w:lvlJc w:val="left"/>
      <w:pPr>
        <w:ind w:left="3655" w:hanging="360"/>
      </w:pPr>
    </w:lvl>
    <w:lvl w:ilvl="4" w:tplc="04160019">
      <w:start w:val="1"/>
      <w:numFmt w:val="lowerLetter"/>
      <w:lvlText w:val="%5."/>
      <w:lvlJc w:val="left"/>
      <w:pPr>
        <w:ind w:left="4375" w:hanging="360"/>
      </w:pPr>
    </w:lvl>
    <w:lvl w:ilvl="5" w:tplc="0416001B">
      <w:start w:val="1"/>
      <w:numFmt w:val="lowerRoman"/>
      <w:lvlText w:val="%6."/>
      <w:lvlJc w:val="right"/>
      <w:pPr>
        <w:ind w:left="5095" w:hanging="180"/>
      </w:pPr>
    </w:lvl>
    <w:lvl w:ilvl="6" w:tplc="0416000F">
      <w:start w:val="1"/>
      <w:numFmt w:val="decimal"/>
      <w:lvlText w:val="%7."/>
      <w:lvlJc w:val="left"/>
      <w:pPr>
        <w:ind w:left="5815" w:hanging="360"/>
      </w:pPr>
    </w:lvl>
    <w:lvl w:ilvl="7" w:tplc="04160019">
      <w:start w:val="1"/>
      <w:numFmt w:val="lowerLetter"/>
      <w:lvlText w:val="%8."/>
      <w:lvlJc w:val="left"/>
      <w:pPr>
        <w:ind w:left="6535" w:hanging="360"/>
      </w:pPr>
    </w:lvl>
    <w:lvl w:ilvl="8" w:tplc="0416001B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76974E29"/>
    <w:multiLevelType w:val="multilevel"/>
    <w:tmpl w:val="7ED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6C3FB6"/>
    <w:multiLevelType w:val="multilevel"/>
    <w:tmpl w:val="B032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AD1F0D"/>
    <w:multiLevelType w:val="multilevel"/>
    <w:tmpl w:val="F02C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125702">
    <w:abstractNumId w:val="32"/>
  </w:num>
  <w:num w:numId="2" w16cid:durableId="1690791969">
    <w:abstractNumId w:val="1"/>
  </w:num>
  <w:num w:numId="3" w16cid:durableId="972370420">
    <w:abstractNumId w:val="37"/>
  </w:num>
  <w:num w:numId="4" w16cid:durableId="1196848242">
    <w:abstractNumId w:val="40"/>
  </w:num>
  <w:num w:numId="5" w16cid:durableId="1536189278">
    <w:abstractNumId w:val="24"/>
  </w:num>
  <w:num w:numId="6" w16cid:durableId="214465784">
    <w:abstractNumId w:val="9"/>
  </w:num>
  <w:num w:numId="7" w16cid:durableId="1941642734">
    <w:abstractNumId w:val="33"/>
  </w:num>
  <w:num w:numId="8" w16cid:durableId="1508054261">
    <w:abstractNumId w:val="7"/>
  </w:num>
  <w:num w:numId="9" w16cid:durableId="1103038483">
    <w:abstractNumId w:val="12"/>
  </w:num>
  <w:num w:numId="10" w16cid:durableId="318309088">
    <w:abstractNumId w:val="6"/>
  </w:num>
  <w:num w:numId="11" w16cid:durableId="1159536664">
    <w:abstractNumId w:val="34"/>
  </w:num>
  <w:num w:numId="12" w16cid:durableId="681589530">
    <w:abstractNumId w:val="16"/>
  </w:num>
  <w:num w:numId="13" w16cid:durableId="1896507448">
    <w:abstractNumId w:val="26"/>
  </w:num>
  <w:num w:numId="14" w16cid:durableId="1818952605">
    <w:abstractNumId w:val="8"/>
  </w:num>
  <w:num w:numId="15" w16cid:durableId="1665934332">
    <w:abstractNumId w:val="15"/>
  </w:num>
  <w:num w:numId="16" w16cid:durableId="377555051">
    <w:abstractNumId w:val="4"/>
  </w:num>
  <w:num w:numId="17" w16cid:durableId="1946958783">
    <w:abstractNumId w:val="42"/>
  </w:num>
  <w:num w:numId="18" w16cid:durableId="983311516">
    <w:abstractNumId w:val="10"/>
  </w:num>
  <w:num w:numId="19" w16cid:durableId="194849258">
    <w:abstractNumId w:val="35"/>
  </w:num>
  <w:num w:numId="20" w16cid:durableId="1934127698">
    <w:abstractNumId w:val="20"/>
  </w:num>
  <w:num w:numId="21" w16cid:durableId="746264635">
    <w:abstractNumId w:val="30"/>
  </w:num>
  <w:num w:numId="22" w16cid:durableId="399257028">
    <w:abstractNumId w:val="39"/>
  </w:num>
  <w:num w:numId="23" w16cid:durableId="353189384">
    <w:abstractNumId w:val="18"/>
  </w:num>
  <w:num w:numId="24" w16cid:durableId="763502367">
    <w:abstractNumId w:val="0"/>
  </w:num>
  <w:num w:numId="25" w16cid:durableId="1074857678">
    <w:abstractNumId w:val="2"/>
  </w:num>
  <w:num w:numId="26" w16cid:durableId="293681965">
    <w:abstractNumId w:val="21"/>
  </w:num>
  <w:num w:numId="27" w16cid:durableId="2014986930">
    <w:abstractNumId w:val="27"/>
  </w:num>
  <w:num w:numId="28" w16cid:durableId="1704287228">
    <w:abstractNumId w:val="44"/>
  </w:num>
  <w:num w:numId="29" w16cid:durableId="823156355">
    <w:abstractNumId w:val="11"/>
  </w:num>
  <w:num w:numId="30" w16cid:durableId="142934807">
    <w:abstractNumId w:val="29"/>
  </w:num>
  <w:num w:numId="31" w16cid:durableId="1937857277">
    <w:abstractNumId w:val="43"/>
  </w:num>
  <w:num w:numId="32" w16cid:durableId="410008622">
    <w:abstractNumId w:val="17"/>
  </w:num>
  <w:num w:numId="33" w16cid:durableId="1207062850">
    <w:abstractNumId w:val="31"/>
  </w:num>
  <w:num w:numId="34" w16cid:durableId="1358391639">
    <w:abstractNumId w:val="19"/>
  </w:num>
  <w:num w:numId="35" w16cid:durableId="1036271771">
    <w:abstractNumId w:val="38"/>
  </w:num>
  <w:num w:numId="36" w16cid:durableId="925532041">
    <w:abstractNumId w:val="3"/>
  </w:num>
  <w:num w:numId="37" w16cid:durableId="1296175052">
    <w:abstractNumId w:val="25"/>
  </w:num>
  <w:num w:numId="38" w16cid:durableId="2061053309">
    <w:abstractNumId w:val="28"/>
  </w:num>
  <w:num w:numId="39" w16cid:durableId="1847356167">
    <w:abstractNumId w:val="23"/>
  </w:num>
  <w:num w:numId="40" w16cid:durableId="1230264282">
    <w:abstractNumId w:val="5"/>
  </w:num>
  <w:num w:numId="41" w16cid:durableId="392511263">
    <w:abstractNumId w:val="36"/>
  </w:num>
  <w:num w:numId="42" w16cid:durableId="392319177">
    <w:abstractNumId w:val="13"/>
  </w:num>
  <w:num w:numId="43" w16cid:durableId="1048796252">
    <w:abstractNumId w:val="14"/>
  </w:num>
  <w:num w:numId="44" w16cid:durableId="1078595866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1194605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0A"/>
    <w:rsid w:val="00054AE0"/>
    <w:rsid w:val="00061217"/>
    <w:rsid w:val="00077C5B"/>
    <w:rsid w:val="00084338"/>
    <w:rsid w:val="00095703"/>
    <w:rsid w:val="000A1545"/>
    <w:rsid w:val="000B2F4A"/>
    <w:rsid w:val="000C4A4C"/>
    <w:rsid w:val="000D332C"/>
    <w:rsid w:val="0010339C"/>
    <w:rsid w:val="00107A88"/>
    <w:rsid w:val="00125780"/>
    <w:rsid w:val="00164083"/>
    <w:rsid w:val="00164555"/>
    <w:rsid w:val="001667E0"/>
    <w:rsid w:val="00191B34"/>
    <w:rsid w:val="001B2239"/>
    <w:rsid w:val="001B5772"/>
    <w:rsid w:val="001D3366"/>
    <w:rsid w:val="00201885"/>
    <w:rsid w:val="002023D3"/>
    <w:rsid w:val="00236C7D"/>
    <w:rsid w:val="00265A14"/>
    <w:rsid w:val="002D0E7A"/>
    <w:rsid w:val="002F5C28"/>
    <w:rsid w:val="002F7E9B"/>
    <w:rsid w:val="00324ACD"/>
    <w:rsid w:val="0032720A"/>
    <w:rsid w:val="00352172"/>
    <w:rsid w:val="003C51C2"/>
    <w:rsid w:val="003D1FD2"/>
    <w:rsid w:val="003E6DB9"/>
    <w:rsid w:val="003F0C4D"/>
    <w:rsid w:val="0040344C"/>
    <w:rsid w:val="00410431"/>
    <w:rsid w:val="00445595"/>
    <w:rsid w:val="004621CC"/>
    <w:rsid w:val="004770D6"/>
    <w:rsid w:val="004A2721"/>
    <w:rsid w:val="004C7828"/>
    <w:rsid w:val="00512474"/>
    <w:rsid w:val="00545DD8"/>
    <w:rsid w:val="00606FF6"/>
    <w:rsid w:val="00677302"/>
    <w:rsid w:val="00683D5D"/>
    <w:rsid w:val="006B21F8"/>
    <w:rsid w:val="00717589"/>
    <w:rsid w:val="00733BC5"/>
    <w:rsid w:val="00747934"/>
    <w:rsid w:val="00754495"/>
    <w:rsid w:val="007717D5"/>
    <w:rsid w:val="00775E2C"/>
    <w:rsid w:val="007779FB"/>
    <w:rsid w:val="007C6F02"/>
    <w:rsid w:val="007D656C"/>
    <w:rsid w:val="00810257"/>
    <w:rsid w:val="008144D2"/>
    <w:rsid w:val="00824C48"/>
    <w:rsid w:val="00843FC3"/>
    <w:rsid w:val="00852298"/>
    <w:rsid w:val="00853345"/>
    <w:rsid w:val="008C5200"/>
    <w:rsid w:val="009400E4"/>
    <w:rsid w:val="00962D71"/>
    <w:rsid w:val="00977AFF"/>
    <w:rsid w:val="00980962"/>
    <w:rsid w:val="009852ED"/>
    <w:rsid w:val="00985CC9"/>
    <w:rsid w:val="009B55D0"/>
    <w:rsid w:val="009E694A"/>
    <w:rsid w:val="009F7862"/>
    <w:rsid w:val="00A07AF5"/>
    <w:rsid w:val="00A16F9F"/>
    <w:rsid w:val="00A32DC3"/>
    <w:rsid w:val="00A907CD"/>
    <w:rsid w:val="00AB1597"/>
    <w:rsid w:val="00AC3809"/>
    <w:rsid w:val="00B33FF4"/>
    <w:rsid w:val="00B37873"/>
    <w:rsid w:val="00B45623"/>
    <w:rsid w:val="00B5450F"/>
    <w:rsid w:val="00B67B13"/>
    <w:rsid w:val="00B96B0B"/>
    <w:rsid w:val="00BF0359"/>
    <w:rsid w:val="00C116D9"/>
    <w:rsid w:val="00C3477C"/>
    <w:rsid w:val="00C52134"/>
    <w:rsid w:val="00C52B08"/>
    <w:rsid w:val="00C53CBE"/>
    <w:rsid w:val="00C5643D"/>
    <w:rsid w:val="00C72100"/>
    <w:rsid w:val="00C75185"/>
    <w:rsid w:val="00C87E9D"/>
    <w:rsid w:val="00CF2146"/>
    <w:rsid w:val="00D12419"/>
    <w:rsid w:val="00D168B3"/>
    <w:rsid w:val="00D169E7"/>
    <w:rsid w:val="00D31B1F"/>
    <w:rsid w:val="00D36DE6"/>
    <w:rsid w:val="00D65B86"/>
    <w:rsid w:val="00D67AF3"/>
    <w:rsid w:val="00DA070A"/>
    <w:rsid w:val="00DB4D23"/>
    <w:rsid w:val="00DD3F6B"/>
    <w:rsid w:val="00E2154B"/>
    <w:rsid w:val="00E51AE2"/>
    <w:rsid w:val="00E541D7"/>
    <w:rsid w:val="00E771E2"/>
    <w:rsid w:val="00E8530C"/>
    <w:rsid w:val="00E96175"/>
    <w:rsid w:val="00EA529A"/>
    <w:rsid w:val="00EE066A"/>
    <w:rsid w:val="00EF419E"/>
    <w:rsid w:val="00EF5361"/>
    <w:rsid w:val="00EF64AC"/>
    <w:rsid w:val="00F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E3BB378"/>
  <w15:docId w15:val="{734A7D5D-DABE-4EFC-B273-52A4C6A2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12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419"/>
  </w:style>
  <w:style w:type="paragraph" w:styleId="Rodap">
    <w:name w:val="footer"/>
    <w:basedOn w:val="Normal"/>
    <w:link w:val="RodapChar"/>
    <w:uiPriority w:val="99"/>
    <w:unhideWhenUsed/>
    <w:rsid w:val="00D12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419"/>
  </w:style>
  <w:style w:type="character" w:styleId="Hyperlink">
    <w:name w:val="Hyperlink"/>
    <w:basedOn w:val="Fontepargpadro"/>
    <w:uiPriority w:val="99"/>
    <w:semiHidden/>
    <w:unhideWhenUsed/>
    <w:rsid w:val="00D12419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3D1FD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D1FD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aliases w:val="Marca 1,Normal numerado,List Paragraph,MARCADOR,Marcador,00- Parágrafo,Marina,Lista Colorida - Ênfase 11"/>
    <w:basedOn w:val="Normal"/>
    <w:link w:val="PargrafodaListaChar"/>
    <w:uiPriority w:val="1"/>
    <w:qFormat/>
    <w:rsid w:val="00DA070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PargrafodaListaChar">
    <w:name w:val="Parágrafo da Lista Char"/>
    <w:aliases w:val="Marca 1 Char,Normal numerado Char,List Paragraph Char,MARCADOR Char,Marcador Char,00- Parágrafo Char,Marina Char,Lista Colorida - Ênfase 11 Char"/>
    <w:link w:val="PargrafodaLista"/>
    <w:uiPriority w:val="1"/>
    <w:rsid w:val="00DA070A"/>
    <w:rPr>
      <w:rFonts w:cs="Times New Roman"/>
      <w:lang w:eastAsia="en-US"/>
    </w:rPr>
  </w:style>
  <w:style w:type="character" w:styleId="nfase">
    <w:name w:val="Emphasis"/>
    <w:uiPriority w:val="20"/>
    <w:qFormat/>
    <w:rsid w:val="00C52134"/>
    <w:rPr>
      <w:i/>
      <w:iCs/>
    </w:rPr>
  </w:style>
  <w:style w:type="paragraph" w:styleId="NormalWeb">
    <w:name w:val="Normal (Web)"/>
    <w:basedOn w:val="Normal"/>
    <w:uiPriority w:val="99"/>
    <w:unhideWhenUsed/>
    <w:rsid w:val="0097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0344C"/>
    <w:rPr>
      <w:b/>
      <w:bCs/>
    </w:rPr>
  </w:style>
  <w:style w:type="paragraph" w:styleId="SemEspaamento">
    <w:name w:val="No Spacing"/>
    <w:uiPriority w:val="1"/>
    <w:qFormat/>
    <w:rsid w:val="00D169E7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C75185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B5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16akUhwc+MFuS2+CaFO+etSq+w==">CgMxLjA4AHIhMWRPRFZXdkttM1NGeVBxLUFYcHVSMlBjbWNsWEpMa0R0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2365</Words>
  <Characters>12772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Licita2024</cp:lastModifiedBy>
  <cp:revision>11</cp:revision>
  <dcterms:created xsi:type="dcterms:W3CDTF">2025-01-30T19:17:00Z</dcterms:created>
  <dcterms:modified xsi:type="dcterms:W3CDTF">2026-01-21T18:29:00Z</dcterms:modified>
</cp:coreProperties>
</file>